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015A4A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-412273</wp:posOffset>
            </wp:positionV>
            <wp:extent cx="603734" cy="751438"/>
            <wp:effectExtent l="19050" t="0" r="5866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4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9D6845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Малиновский сельский </w:t>
      </w:r>
      <w:r w:rsidR="0028179D" w:rsidRPr="0028179D">
        <w:rPr>
          <w:rFonts w:ascii="Arial" w:hAnsi="Arial" w:cs="Arial"/>
          <w:b/>
          <w:sz w:val="24"/>
          <w:szCs w:val="24"/>
        </w:rPr>
        <w:t>Совет депутатов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A40C1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A40C1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  <w:r w:rsidR="00644B45">
        <w:rPr>
          <w:rFonts w:ascii="Arial" w:hAnsi="Arial" w:cs="Arial"/>
          <w:b/>
          <w:sz w:val="24"/>
          <w:szCs w:val="24"/>
        </w:rPr>
        <w:t xml:space="preserve"> </w:t>
      </w:r>
    </w:p>
    <w:p w:rsidR="0028179D" w:rsidRPr="0028179D" w:rsidRDefault="00A02DC8" w:rsidP="00A40C1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36A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015A4A">
        <w:rPr>
          <w:rFonts w:ascii="Arial" w:hAnsi="Arial" w:cs="Arial"/>
          <w:sz w:val="24"/>
          <w:szCs w:val="24"/>
        </w:rPr>
        <w:t>.</w:t>
      </w:r>
      <w:r w:rsidR="00610FB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  <w:t>№</w:t>
      </w:r>
      <w:r w:rsidR="0064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</w:t>
      </w:r>
    </w:p>
    <w:p w:rsidR="009D6845" w:rsidRPr="0028179D" w:rsidRDefault="009D6845" w:rsidP="00A40C1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8179D">
        <w:rPr>
          <w:rFonts w:ascii="Arial" w:hAnsi="Arial" w:cs="Arial"/>
          <w:sz w:val="24"/>
          <w:szCs w:val="24"/>
        </w:rPr>
        <w:t>с</w:t>
      </w:r>
      <w:proofErr w:type="gramEnd"/>
      <w:r w:rsidRPr="0028179D">
        <w:rPr>
          <w:rFonts w:ascii="Arial" w:hAnsi="Arial" w:cs="Arial"/>
          <w:sz w:val="24"/>
          <w:szCs w:val="24"/>
        </w:rPr>
        <w:t>. Малиновка</w:t>
      </w:r>
    </w:p>
    <w:p w:rsidR="0028179D" w:rsidRP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 исполнении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бюджета</w:t>
      </w:r>
    </w:p>
    <w:p w:rsidR="0028179D" w:rsidRDefault="00644B45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Малиновского сельсовета за 202</w:t>
      </w:r>
      <w:r w:rsidR="00A02DC8">
        <w:rPr>
          <w:rStyle w:val="a3"/>
          <w:rFonts w:ascii="Arial" w:eastAsia="Calibri" w:hAnsi="Arial" w:cs="Arial"/>
          <w:color w:val="000000"/>
          <w:sz w:val="24"/>
          <w:szCs w:val="24"/>
        </w:rPr>
        <w:t>1</w:t>
      </w:r>
      <w:r w:rsidR="006F25F1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</w:p>
    <w:p w:rsidR="0016123F" w:rsidRPr="0028179D" w:rsidRDefault="0016123F" w:rsidP="00A40C17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A40C17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Pr="00D04CAD" w:rsidRDefault="0028179D" w:rsidP="00015A4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</w:pP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Руководствуясь Бюджетным кодексом Российской Федерации, Федеральными законами: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06.06.2019 N 85н</w:t>
      </w:r>
      <w:r w:rsidR="00D04CAD"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>«</w:t>
      </w:r>
      <w:r w:rsidR="00D04CAD" w:rsidRPr="00D04CAD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», Положением </w:t>
      </w:r>
      <w:r w:rsidRPr="00D04CAD">
        <w:rPr>
          <w:rStyle w:val="a5"/>
          <w:rFonts w:ascii="Arial" w:eastAsia="Calibri" w:hAnsi="Arial" w:cs="Arial"/>
          <w:b w:val="0"/>
          <w:i w:val="0"/>
          <w:color w:val="000000"/>
          <w:sz w:val="24"/>
          <w:szCs w:val="24"/>
        </w:rPr>
        <w:t>«О</w:t>
      </w:r>
      <w:r w:rsidRPr="00D04CAD">
        <w:rPr>
          <w:rStyle w:val="a5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D04CAD">
        <w:rPr>
          <w:rStyle w:val="a3"/>
          <w:rFonts w:ascii="Arial" w:eastAsia="Calibri" w:hAnsi="Arial" w:cs="Arial"/>
          <w:b w:val="0"/>
          <w:color w:val="000000"/>
          <w:sz w:val="24"/>
          <w:szCs w:val="24"/>
        </w:rPr>
        <w:t xml:space="preserve">бюджетном процессе в Малиновском сельсовете», Малиновский сельский Совет депутатов </w:t>
      </w:r>
    </w:p>
    <w:p w:rsidR="0028179D" w:rsidRPr="00736A9E" w:rsidRDefault="0028179D" w:rsidP="00015A4A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b/>
          <w:color w:val="000000"/>
          <w:sz w:val="24"/>
          <w:szCs w:val="24"/>
        </w:rPr>
      </w:pPr>
      <w:r w:rsidRPr="00736A9E">
        <w:rPr>
          <w:rStyle w:val="a3"/>
          <w:rFonts w:ascii="Arial" w:eastAsia="Calibri" w:hAnsi="Arial" w:cs="Arial"/>
          <w:b/>
          <w:color w:val="000000"/>
          <w:sz w:val="24"/>
          <w:szCs w:val="24"/>
        </w:rPr>
        <w:t>РЕШИЛ:</w:t>
      </w:r>
    </w:p>
    <w:p w:rsidR="0028179D" w:rsidRPr="0028179D" w:rsidRDefault="0028179D" w:rsidP="00015A4A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667030" w:rsidRDefault="0028179D" w:rsidP="00015A4A">
      <w:pPr>
        <w:pStyle w:val="a4"/>
        <w:shd w:val="clear" w:color="auto" w:fill="auto"/>
        <w:tabs>
          <w:tab w:val="left" w:pos="709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отчет об исполнении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</w:t>
      </w:r>
      <w:r w:rsidR="009D6845">
        <w:rPr>
          <w:rStyle w:val="a3"/>
          <w:rFonts w:ascii="Arial" w:eastAsia="Calibri" w:hAnsi="Arial" w:cs="Arial"/>
          <w:color w:val="000000"/>
          <w:sz w:val="24"/>
          <w:szCs w:val="24"/>
        </w:rPr>
        <w:t>а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02DC8">
        <w:rPr>
          <w:rStyle w:val="a3"/>
          <w:rFonts w:ascii="Arial" w:eastAsia="Calibri" w:hAnsi="Arial" w:cs="Arial"/>
          <w:color w:val="000000"/>
          <w:sz w:val="24"/>
          <w:szCs w:val="24"/>
        </w:rPr>
        <w:t>за 2021</w:t>
      </w:r>
      <w:r w:rsidR="009D6845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667030">
        <w:rPr>
          <w:rStyle w:val="a3"/>
          <w:rFonts w:ascii="Arial" w:eastAsia="Calibri" w:hAnsi="Arial" w:cs="Arial"/>
          <w:color w:val="000000"/>
          <w:sz w:val="24"/>
          <w:szCs w:val="24"/>
        </w:rPr>
        <w:t>:</w:t>
      </w:r>
    </w:p>
    <w:p w:rsidR="00667030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D85BAF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доходам в сумме </w:t>
      </w:r>
      <w:r w:rsidR="002B0CF7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6581,83 </w:t>
      </w:r>
      <w:r w:rsidR="00ED706E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тыс. рублей</w:t>
      </w:r>
      <w:r w:rsidR="0028179D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B0CF7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A62FA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 1)</w:t>
      </w: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D85BAF" w:rsidRDefault="0016123F" w:rsidP="00015A4A">
      <w:pPr>
        <w:pStyle w:val="a4"/>
        <w:shd w:val="clear" w:color="auto" w:fill="auto"/>
        <w:tabs>
          <w:tab w:val="left" w:pos="543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28179D" w:rsidRPr="00D85BAF" w:rsidRDefault="00667030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6F25F1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179D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по расходам в сумме </w:t>
      </w:r>
      <w:r w:rsidR="002B0CF7">
        <w:rPr>
          <w:rStyle w:val="a3"/>
          <w:rFonts w:ascii="Arial" w:eastAsia="Calibri" w:hAnsi="Arial" w:cs="Arial"/>
          <w:color w:val="000000"/>
          <w:sz w:val="24"/>
          <w:szCs w:val="24"/>
        </w:rPr>
        <w:t>6589,15</w:t>
      </w:r>
      <w:r w:rsidR="00F81332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тыс.</w:t>
      </w:r>
      <w:r w:rsidR="006F25F1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рублей </w:t>
      </w:r>
      <w:r w:rsidR="00FA62FA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(приложения № 2</w:t>
      </w:r>
      <w:r w:rsidR="009D6845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,№</w:t>
      </w:r>
      <w:r w:rsidR="00A40C17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A62FA">
        <w:rPr>
          <w:rStyle w:val="a3"/>
          <w:rFonts w:ascii="Arial" w:eastAsia="Calibri" w:hAnsi="Arial" w:cs="Arial"/>
          <w:color w:val="000000"/>
          <w:sz w:val="24"/>
          <w:szCs w:val="24"/>
        </w:rPr>
        <w:t>3,№ 4</w:t>
      </w:r>
      <w:r w:rsidR="009D6845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,</w:t>
      </w:r>
      <w:r w:rsidR="0016123F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D85BAF" w:rsidRDefault="0016123F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28179D" w:rsidRDefault="00667030" w:rsidP="00015A4A">
      <w:pPr>
        <w:pStyle w:val="a4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-</w:t>
      </w:r>
      <w:r w:rsidR="00B24078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источники внутреннего финансирования</w:t>
      </w:r>
      <w:r w:rsidR="00595EC6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744CA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дефицита местного бюджета в 2021</w:t>
      </w:r>
      <w:r w:rsidR="00B24078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году </w:t>
      </w: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в сумме</w:t>
      </w:r>
      <w:r w:rsidR="009D6845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B0CF7">
        <w:rPr>
          <w:rStyle w:val="a3"/>
          <w:rFonts w:ascii="Arial" w:eastAsia="Calibri" w:hAnsi="Arial" w:cs="Arial"/>
          <w:color w:val="000000"/>
          <w:sz w:val="24"/>
          <w:szCs w:val="24"/>
        </w:rPr>
        <w:t>7,3</w:t>
      </w:r>
      <w:r w:rsidR="00FA62FA">
        <w:rPr>
          <w:rStyle w:val="a3"/>
          <w:rFonts w:ascii="Arial" w:eastAsia="Calibri" w:hAnsi="Arial" w:cs="Arial"/>
          <w:color w:val="000000"/>
          <w:sz w:val="24"/>
          <w:szCs w:val="24"/>
        </w:rPr>
        <w:t>1</w:t>
      </w:r>
      <w:r w:rsidR="002B0CF7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 тыс. </w:t>
      </w:r>
      <w:r w:rsidR="00074FDB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рублей </w:t>
      </w:r>
      <w:r w:rsidR="00FA62FA">
        <w:rPr>
          <w:rStyle w:val="a3"/>
          <w:rFonts w:ascii="Arial" w:eastAsia="Calibri" w:hAnsi="Arial" w:cs="Arial"/>
          <w:color w:val="000000"/>
          <w:sz w:val="24"/>
          <w:szCs w:val="24"/>
        </w:rPr>
        <w:t>(приложение № 5</w:t>
      </w:r>
      <w:r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)</w:t>
      </w:r>
      <w:r w:rsidR="0028179D" w:rsidRPr="00D85BAF">
        <w:rPr>
          <w:rStyle w:val="a3"/>
          <w:rFonts w:ascii="Arial" w:eastAsia="Calibri" w:hAnsi="Arial" w:cs="Arial"/>
          <w:color w:val="000000"/>
          <w:sz w:val="24"/>
          <w:szCs w:val="24"/>
        </w:rPr>
        <w:t>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015A4A">
      <w:pPr>
        <w:pStyle w:val="a4"/>
        <w:shd w:val="clear" w:color="auto" w:fill="auto"/>
        <w:tabs>
          <w:tab w:val="left" w:pos="851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9A070A" w:rsidRPr="009A070A" w:rsidRDefault="00667030" w:rsidP="00015A4A">
      <w:pPr>
        <w:pStyle w:val="aa"/>
        <w:tabs>
          <w:tab w:val="left" w:pos="851"/>
        </w:tabs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9A070A">
        <w:rPr>
          <w:rStyle w:val="a3"/>
          <w:rFonts w:ascii="Arial" w:eastAsia="Calibri" w:hAnsi="Arial" w:cs="Arial"/>
          <w:color w:val="000000"/>
          <w:sz w:val="24"/>
          <w:szCs w:val="24"/>
        </w:rPr>
        <w:t>Контроль</w:t>
      </w:r>
      <w:r w:rsidR="009A070A" w:rsidRPr="00723A62">
        <w:rPr>
          <w:rFonts w:ascii="Arial" w:hAnsi="Arial" w:cs="Arial"/>
          <w:color w:val="000000"/>
        </w:rPr>
        <w:t xml:space="preserve"> за исполнением настоящего решения возложить на постоянную комиссию по финансово-экономической деятельности.</w:t>
      </w:r>
    </w:p>
    <w:p w:rsidR="009A070A" w:rsidRDefault="009A070A" w:rsidP="00015A4A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9A070A" w:rsidP="00015A4A">
      <w:pPr>
        <w:pStyle w:val="a4"/>
        <w:shd w:val="clear" w:color="auto" w:fill="auto"/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179D"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="0028179D"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="0028179D"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="0028179D"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 w:rsidR="006B5C49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 w:rsidR="009A0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527F15" w:rsidRPr="00CD0F9F" w:rsidRDefault="00527F15" w:rsidP="00015A4A">
      <w:pPr>
        <w:spacing w:after="0" w:line="240" w:lineRule="auto"/>
        <w:ind w:left="700" w:right="-1" w:firstLine="709"/>
        <w:rPr>
          <w:rFonts w:ascii="Arial" w:hAnsi="Arial" w:cs="Arial"/>
          <w:sz w:val="24"/>
          <w:szCs w:val="24"/>
        </w:rPr>
      </w:pPr>
    </w:p>
    <w:p w:rsidR="008037FB" w:rsidRDefault="008037FB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225A34" w:rsidRDefault="00225A34" w:rsidP="00015A4A">
      <w:pPr>
        <w:spacing w:after="0" w:line="240" w:lineRule="auto"/>
        <w:ind w:left="700" w:firstLine="709"/>
        <w:jc w:val="right"/>
        <w:rPr>
          <w:rFonts w:ascii="Arial" w:hAnsi="Arial" w:cs="Arial"/>
          <w:sz w:val="24"/>
          <w:szCs w:val="24"/>
        </w:rPr>
      </w:pPr>
    </w:p>
    <w:p w:rsidR="00015A4A" w:rsidRDefault="00015A4A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E457C" w:rsidRDefault="00AE457C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E457C" w:rsidRDefault="00AE457C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  <w:sectPr w:rsidR="00AE457C" w:rsidSect="00595EC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AE457C" w:rsidRDefault="00AE457C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E457C" w:rsidRDefault="00AE457C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17"/>
        <w:gridCol w:w="5045"/>
        <w:gridCol w:w="1054"/>
        <w:gridCol w:w="1443"/>
        <w:gridCol w:w="1397"/>
        <w:gridCol w:w="1221"/>
      </w:tblGrid>
      <w:tr w:rsidR="00A764B3" w:rsidRPr="00A764B3" w:rsidTr="00056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764B3" w:rsidRPr="00A764B3" w:rsidTr="007D2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 решению  Малиновского сельского Совета депутатов от  12.05.2022    № 59</w:t>
            </w:r>
          </w:p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64B3" w:rsidRPr="00A764B3" w:rsidTr="00A76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E457C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E457C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457C" w:rsidRPr="00A764B3" w:rsidTr="00A764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7C" w:rsidRPr="00A764B3" w:rsidRDefault="00AE457C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6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местного бюджета на 2021 год  фактическое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E457C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457C" w:rsidRPr="00A764B3" w:rsidTr="00A764B3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AE457C"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AE457C"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AE457C"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  <w:r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457C" w:rsidRPr="00A764B3" w:rsidTr="00A764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местного бюджета 2021 года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местного бюджета 2021 года план с изменениями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местного бюджета 2021 года фактическое 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="00A764B3"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исполнения</w:t>
            </w:r>
          </w:p>
        </w:tc>
      </w:tr>
      <w:tr w:rsidR="00A764B3" w:rsidRPr="00A764B3" w:rsidTr="00A764B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4B3" w:rsidRPr="00A764B3" w:rsidTr="00A764B3">
        <w:trPr>
          <w:trHeight w:val="2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107,9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109,1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109,1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109,1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101,8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103,5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108,5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105,9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80,6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</w:t>
            </w: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764B3" w:rsidRPr="00A764B3" w:rsidTr="00A764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7C" w:rsidRPr="00A764B3" w:rsidRDefault="00AE457C" w:rsidP="00AE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7C" w:rsidRPr="00A764B3" w:rsidRDefault="00AE457C" w:rsidP="00AE4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7C" w:rsidRPr="00A764B3" w:rsidRDefault="00AE457C" w:rsidP="00AE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E457C" w:rsidRDefault="00AE457C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088"/>
        <w:gridCol w:w="6419"/>
        <w:gridCol w:w="1758"/>
        <w:gridCol w:w="1328"/>
        <w:gridCol w:w="2004"/>
        <w:gridCol w:w="1906"/>
      </w:tblGrid>
      <w:tr w:rsidR="00A764B3" w:rsidRPr="00A764B3" w:rsidTr="00A764B3"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Малиновского сельского Совета депутатов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12.05.2022 № 59</w:t>
            </w:r>
          </w:p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4F9" w:rsidRPr="00A764B3" w:rsidTr="000D34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4F9" w:rsidRDefault="000D34F9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6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A76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2021 год</w:t>
            </w:r>
          </w:p>
          <w:p w:rsidR="000D34F9" w:rsidRPr="00A764B3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D34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0D34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D34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Pr="000D34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4B3" w:rsidRPr="00A764B3" w:rsidTr="00A764B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 2021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2021 год с изменениями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2021год фактическое исполнение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3113,1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3142,2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2165,8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2201,2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238,5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238,5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3130,6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532,3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 области жилищно-коммунального хозяйства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2598,3</w:t>
            </w:r>
          </w:p>
        </w:tc>
      </w:tr>
      <w:tr w:rsidR="00A764B3" w:rsidRPr="00A764B3" w:rsidTr="00A764B3"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764B3" w:rsidRPr="00A764B3" w:rsidTr="00A764B3">
        <w:tc>
          <w:tcPr>
            <w:tcW w:w="2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B3" w:rsidRPr="00A764B3" w:rsidRDefault="00A764B3" w:rsidP="00A7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B3" w:rsidRPr="00A764B3" w:rsidRDefault="00A764B3" w:rsidP="00A7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6589,2</w:t>
            </w:r>
          </w:p>
        </w:tc>
      </w:tr>
    </w:tbl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80"/>
        <w:gridCol w:w="4041"/>
        <w:gridCol w:w="107"/>
        <w:gridCol w:w="850"/>
        <w:gridCol w:w="170"/>
        <w:gridCol w:w="1106"/>
        <w:gridCol w:w="41"/>
        <w:gridCol w:w="1235"/>
        <w:gridCol w:w="18"/>
        <w:gridCol w:w="1016"/>
        <w:gridCol w:w="100"/>
        <w:gridCol w:w="778"/>
        <w:gridCol w:w="214"/>
        <w:gridCol w:w="1261"/>
        <w:gridCol w:w="157"/>
        <w:gridCol w:w="1417"/>
        <w:gridCol w:w="1212"/>
      </w:tblGrid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N106"/>
            <w:bookmarkEnd w:id="0"/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Малиновского сельского Совета депутатов от 12.05.2022 № 59</w:t>
            </w:r>
          </w:p>
        </w:tc>
      </w:tr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3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местного бюджета  на 2021 год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4F9" w:rsidRPr="000D34F9" w:rsidTr="000D34F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34F9" w:rsidRPr="000D34F9" w:rsidTr="00314D24"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0D3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D3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        2021 год 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        2021 год план с изменениями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        2021 год фактическое исполнение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 за 2021г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6D2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за счет прочих дотации бюджетам сельских поселений (на частичную компенсацию расходов на повышение оплаты труда отдельным категориям работников 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8500027240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8500027240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8500027240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94,8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защиту населения и территории от чрезвычайных ситуаций природного и техногенного характера, пожарная безопасность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01900S4120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01900S4120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01900S4120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изнедеятельности поселения на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содержанию</w:t>
            </w:r>
            <w:proofErr w:type="gram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)в</w:t>
            </w:r>
            <w:proofErr w:type="gram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за счет средств сельских поселений  </w:t>
            </w:r>
            <w:proofErr w:type="spell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)в</w:t>
            </w:r>
            <w:proofErr w:type="gram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содержание </w:t>
            </w:r>
            <w:proofErr w:type="spell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водобашен</w:t>
            </w:r>
            <w:proofErr w:type="spell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на расходы за счет прочих субсидий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самообложения граждан на расходы за счет прочих субсидий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 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 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МО Малиновский </w:t>
            </w: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за счет прочих субсидий бюджетам сельских поселений и </w:t>
            </w:r>
            <w:proofErr w:type="spell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"Благоустройство</w:t>
            </w:r>
            <w:proofErr w:type="gramEnd"/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01100S5710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01100S5710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01100S5710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2598,2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D34F9" w:rsidRPr="000D34F9" w:rsidTr="000D34F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9" w:rsidRPr="000D34F9" w:rsidRDefault="000D34F9" w:rsidP="000D34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F9" w:rsidRPr="000D34F9" w:rsidRDefault="000D34F9" w:rsidP="000D3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4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A764B3" w:rsidRDefault="00A764B3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p w:rsidR="000D34F9" w:rsidRDefault="000D34F9" w:rsidP="00A40C17">
      <w:pPr>
        <w:spacing w:after="0" w:line="240" w:lineRule="auto"/>
        <w:ind w:left="700"/>
        <w:jc w:val="right"/>
        <w:rPr>
          <w:rFonts w:ascii="Arial" w:hAnsi="Arial" w:cs="Arial"/>
          <w:sz w:val="24"/>
          <w:szCs w:val="24"/>
        </w:rPr>
      </w:pPr>
    </w:p>
    <w:sectPr w:rsidR="000D34F9" w:rsidSect="00A764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015A4A"/>
    <w:rsid w:val="00074FDB"/>
    <w:rsid w:val="000D34F9"/>
    <w:rsid w:val="001268EF"/>
    <w:rsid w:val="0016123F"/>
    <w:rsid w:val="00171C3D"/>
    <w:rsid w:val="001A2E28"/>
    <w:rsid w:val="001C3575"/>
    <w:rsid w:val="001D3182"/>
    <w:rsid w:val="001F2C08"/>
    <w:rsid w:val="00214EAE"/>
    <w:rsid w:val="00224B85"/>
    <w:rsid w:val="00225A34"/>
    <w:rsid w:val="00236E60"/>
    <w:rsid w:val="0028179D"/>
    <w:rsid w:val="00287EED"/>
    <w:rsid w:val="002914E9"/>
    <w:rsid w:val="002A01E7"/>
    <w:rsid w:val="002A4B7C"/>
    <w:rsid w:val="002B0CF7"/>
    <w:rsid w:val="002D3917"/>
    <w:rsid w:val="002E2925"/>
    <w:rsid w:val="002F45DC"/>
    <w:rsid w:val="00317AD0"/>
    <w:rsid w:val="003D799A"/>
    <w:rsid w:val="0047299A"/>
    <w:rsid w:val="00481A45"/>
    <w:rsid w:val="00487076"/>
    <w:rsid w:val="004C6567"/>
    <w:rsid w:val="004E2F4D"/>
    <w:rsid w:val="00501B56"/>
    <w:rsid w:val="00527F15"/>
    <w:rsid w:val="00564BAD"/>
    <w:rsid w:val="00595EC6"/>
    <w:rsid w:val="00610FBB"/>
    <w:rsid w:val="00643EF6"/>
    <w:rsid w:val="00644B45"/>
    <w:rsid w:val="00667030"/>
    <w:rsid w:val="006933FD"/>
    <w:rsid w:val="006B5866"/>
    <w:rsid w:val="006B5C49"/>
    <w:rsid w:val="006F25F1"/>
    <w:rsid w:val="00736A9E"/>
    <w:rsid w:val="007372B4"/>
    <w:rsid w:val="007374A0"/>
    <w:rsid w:val="007A1E36"/>
    <w:rsid w:val="008037FB"/>
    <w:rsid w:val="00837D12"/>
    <w:rsid w:val="008946F9"/>
    <w:rsid w:val="008E5F78"/>
    <w:rsid w:val="008F1401"/>
    <w:rsid w:val="009209DF"/>
    <w:rsid w:val="009442C2"/>
    <w:rsid w:val="009A070A"/>
    <w:rsid w:val="009C409B"/>
    <w:rsid w:val="009D418D"/>
    <w:rsid w:val="009D6845"/>
    <w:rsid w:val="00A02DC8"/>
    <w:rsid w:val="00A40C17"/>
    <w:rsid w:val="00A567C0"/>
    <w:rsid w:val="00A738D5"/>
    <w:rsid w:val="00A764B3"/>
    <w:rsid w:val="00A81CEE"/>
    <w:rsid w:val="00A873BB"/>
    <w:rsid w:val="00AB176D"/>
    <w:rsid w:val="00AE457C"/>
    <w:rsid w:val="00B24078"/>
    <w:rsid w:val="00B86B34"/>
    <w:rsid w:val="00C242FD"/>
    <w:rsid w:val="00CD0F9F"/>
    <w:rsid w:val="00CF3E52"/>
    <w:rsid w:val="00D04CAD"/>
    <w:rsid w:val="00D362B8"/>
    <w:rsid w:val="00D61DF4"/>
    <w:rsid w:val="00D85BAF"/>
    <w:rsid w:val="00DA6595"/>
    <w:rsid w:val="00DD3803"/>
    <w:rsid w:val="00DD3896"/>
    <w:rsid w:val="00DD7D94"/>
    <w:rsid w:val="00E30070"/>
    <w:rsid w:val="00E34070"/>
    <w:rsid w:val="00E53DCA"/>
    <w:rsid w:val="00E630D8"/>
    <w:rsid w:val="00E744CA"/>
    <w:rsid w:val="00ED706E"/>
    <w:rsid w:val="00EE2026"/>
    <w:rsid w:val="00F164E0"/>
    <w:rsid w:val="00F26526"/>
    <w:rsid w:val="00F81332"/>
    <w:rsid w:val="00F9534D"/>
    <w:rsid w:val="00F97FDF"/>
    <w:rsid w:val="00FA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paragraph" w:styleId="1">
    <w:name w:val="heading 1"/>
    <w:basedOn w:val="a"/>
    <w:link w:val="10"/>
    <w:uiPriority w:val="9"/>
    <w:qFormat/>
    <w:rsid w:val="00D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B5866"/>
    <w:rPr>
      <w:color w:val="800080"/>
      <w:u w:val="single"/>
    </w:rPr>
  </w:style>
  <w:style w:type="paragraph" w:customStyle="1" w:styleId="xl67">
    <w:name w:val="xl67"/>
    <w:basedOn w:val="a"/>
    <w:rsid w:val="006B58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58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58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6B58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6B586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B5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58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rsid w:val="009A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D34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0D34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7">
    <w:name w:val="xl97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D34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0D34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0D3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7594-4AFF-41EB-928D-33A1B444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2021-11-16T01:52:00Z</cp:lastPrinted>
  <dcterms:created xsi:type="dcterms:W3CDTF">2017-06-05T06:35:00Z</dcterms:created>
  <dcterms:modified xsi:type="dcterms:W3CDTF">2022-06-20T04:35:00Z</dcterms:modified>
</cp:coreProperties>
</file>